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"/>
        <w:gridCol w:w="8768"/>
        <w:tblGridChange w:id="0">
          <w:tblGrid>
            <w:gridCol w:w="520"/>
            <w:gridCol w:w="876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Francouzský jazyk - maturitní témata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vie en famille et les relations humaines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France 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Paris 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 loisirs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fêtes françaises et tchèques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magasins, les achats et la mode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République tchèque 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Prague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maison et le logement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L'enseignement 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sports et les Jeux Olympiques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musique, la mode et les tendances actuelles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climat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Belgique, la Suisse et le Canada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cuisine tchèque et française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L’histoire de la France, les personnages célèbres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protection de l´environnement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culture 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médias et la communication moderne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voyages et la circulation: les moyens de transport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francophonie et les pays francophones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santé et les maladies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vie en ville ou à la campagne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travail, mon métier futur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littérature francophone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Rn23sZ4yFgeh2PR8SRBS88lSkA==">AMUW2mXJ76hmcz/ufxttDWT2fBvTp1t6WftZUwoJbDU+LUjr/0LmXDJvXJsMyq6Y1mCqd+CpfSRRh3YUXJjdPk8gvb1KLMoZTVAhXloqDfvdq3aytpy/f0A=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